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Georgia" w:cs="Georgia" w:eastAsia="Georgia" w:hAnsi="Georgia"/>
          <w:b/>
          <w:bCs/>
          <w:color w:val="2A2420"/>
          <w:sz w:val="50"/>
          <w:szCs w:val="50"/>
        </w:rPr>
        <w:t xml:space="preserve">Derek Dorsett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F7480"/>
          <w:sz w:val="22"/>
          <w:szCs w:val="22"/>
        </w:rPr>
        <w:t xml:space="preserve">Senior Instructional Designer · Learning Experience Designer · L&amp;D Engineer</w:t>
      </w:r>
    </w:p>
    <w:p>
      <w:pPr>
        <w:pBdr>
          <w:bottom w:val="single" w:color="D9CEBC" w:sz="4" w:space="6"/>
        </w:pBdr>
        <w:spacing w:after="120"/>
      </w:pPr>
      <w:r>
        <w:rPr>
          <w:rFonts w:ascii="Calibri" w:cs="Calibri" w:eastAsia="Calibri" w:hAnsi="Calibri"/>
          <w:color w:val="5E544B"/>
          <w:sz w:val="19"/>
          <w:szCs w:val="19"/>
        </w:rPr>
        <w:t xml:space="preserve">Austin, TX  ·  (512) 855-2345  ·  contact@derekdorsett.com  ·  derekdorsett.com  ·  linkedin.com/in/derekdorsett</w:t>
      </w:r>
    </w:p>
    <w:p>
      <w:pPr>
        <w:keepNext/>
        <w:pBdr>
          <w:bottom w:val="single" w:color="0F7480" w:sz="6" w:space="2"/>
        </w:pBdr>
        <w:spacing w:after="100" w:before="240"/>
      </w:pPr>
      <w:r>
        <w:rPr>
          <w:rFonts w:ascii="Georgia" w:cs="Georgia" w:eastAsia="Georgia" w:hAnsi="Georgia"/>
          <w:b/>
          <w:bCs/>
          <w:color w:val="2A2420"/>
          <w:sz w:val="25"/>
          <w:szCs w:val="25"/>
        </w:rPr>
        <w:t xml:space="preserve">Professional Summary</w:t>
      </w:r>
    </w:p>
    <w:p>
      <w:pPr>
        <w:spacing w:after="60"/>
      </w:pPr>
      <w:r>
        <w:rPr>
          <w:rFonts w:ascii="Calibri" w:cs="Calibri" w:eastAsia="Calibri" w:hAnsi="Calibri"/>
          <w:color w:val="3A322C"/>
          <w:sz w:val="20"/>
          <w:szCs w:val="20"/>
        </w:rPr>
        <w:t xml:space="preserve">Senior instructional designer (12+ years) who designs, builds, measures, and governs enterprise learning for regulated and technical organizations. End-to-end ownership — from needs analysis and curriculum architecture, through hand-coded accessible HTML/CSS/JS interactions and multimodal delivery (eLearning, instructor-led, and blended), to enterprise LMS deployment, measured effectiveness, and audit-ready reporting. </w:t>
      </w:r>
      <w:r>
        <w:rPr>
          <w:rFonts w:ascii="Calibri" w:cs="Calibri" w:eastAsia="Calibri" w:hAnsi="Calibri"/>
          <w:b/>
          <w:bCs/>
          <w:color w:val="2A2420"/>
          <w:sz w:val="20"/>
          <w:szCs w:val="20"/>
        </w:rPr>
        <w:t xml:space="preserve">I build the system and the governance, not just the slides.</w:t>
      </w:r>
    </w:p>
    <w:p>
      <w:pPr>
        <w:keepNext/>
        <w:pBdr>
          <w:bottom w:val="single" w:color="0F7480" w:sz="6" w:space="2"/>
        </w:pBdr>
        <w:spacing w:after="100" w:before="240"/>
      </w:pPr>
      <w:r>
        <w:rPr>
          <w:rFonts w:ascii="Georgia" w:cs="Georgia" w:eastAsia="Georgia" w:hAnsi="Georgia"/>
          <w:b/>
          <w:bCs/>
          <w:color w:val="2A2420"/>
          <w:sz w:val="25"/>
          <w:szCs w:val="25"/>
        </w:rPr>
        <w:t xml:space="preserve">Core Competencies</w:t>
      </w:r>
    </w:p>
    <w:p>
      <w:pPr>
        <w:spacing w:after="60"/>
      </w:pPr>
      <w:r>
        <w:rPr>
          <w:rFonts w:ascii="Calibri" w:cs="Calibri" w:eastAsia="Calibri" w:hAnsi="Calibri"/>
          <w:color w:val="3A322C"/>
          <w:sz w:val="19"/>
          <w:szCs w:val="19"/>
        </w:rPr>
        <w:t xml:space="preserve">Instructional Systems Design (ADDIE, Bloom’s, Gagné)  ·  Learning Experience Design (LXD)  ·  eLearning &amp; Authoring Tools  ·  ISO 9001 &amp; Quality Management Systems (QMS)  ·  Safety &amp; Compliance Learning Architecture  ·  Audit-Ready Certification Design  ·  Needs Analysis &amp; Objective-to-Assessment Alignment  ·  Front-End Development for Learning (HTML/CSS/JS, ARIA)  ·  Learning Analytics (pre/post, SCORM, xAPI)  ·  AI-Assisted Content Production  ·  Accessibility (WCAG 2.1 AA, ADA)  ·  Design Systems &amp; UI Kits  ·  Learning Program &amp; Project Management (RACI)</w:t>
      </w:r>
    </w:p>
    <w:p>
      <w:pPr>
        <w:keepNext/>
        <w:pBdr>
          <w:bottom w:val="single" w:color="0F7480" w:sz="6" w:space="2"/>
        </w:pBdr>
        <w:spacing w:after="100" w:before="240"/>
      </w:pPr>
      <w:r>
        <w:rPr>
          <w:rFonts w:ascii="Georgia" w:cs="Georgia" w:eastAsia="Georgia" w:hAnsi="Georgia"/>
          <w:b/>
          <w:bCs/>
          <w:color w:val="2A2420"/>
          <w:sz w:val="25"/>
          <w:szCs w:val="25"/>
        </w:rPr>
        <w:t xml:space="preserve">Professional Experience</w:t>
      </w:r>
    </w:p>
    <w:p>
      <w:pPr>
        <w:keepNext/>
        <w:tabs>
          <w:tab w:val="right" w:pos="10512"/>
        </w:tabs>
        <w:spacing w:after="30" w:before="160"/>
      </w:pPr>
      <w:r>
        <w:rPr>
          <w:rFonts w:ascii="Calibri" w:cs="Calibri" w:eastAsia="Calibri" w:hAnsi="Calibri"/>
          <w:b/>
          <w:bCs/>
          <w:color w:val="2A2420"/>
          <w:sz w:val="21"/>
          <w:szCs w:val="21"/>
        </w:rPr>
        <w:t xml:space="preserve">Instructional Design Consultant (Contract), Beacon Hill Staffing Group</w:t>
      </w:r>
      <w:r>
        <w:rPr>
          <w:rFonts w:ascii="Calibri" w:cs="Calibri" w:eastAsia="Calibri" w:hAnsi="Calibri"/>
          <w:i/>
          <w:iCs/>
          <w:color w:val="5E544B"/>
          <w:sz w:val="19"/>
          <w:szCs w:val="19"/>
        </w:rPr>
        <w:t xml:space="preserve">	Sep 2025 – Present</w:t>
      </w:r>
    </w:p>
    <w:p>
      <w:pPr>
        <w:keepNext/>
        <w:spacing w:after="60"/>
      </w:pPr>
      <w:r>
        <w:rPr>
          <w:rFonts w:ascii="Calibri" w:cs="Calibri" w:eastAsia="Calibri" w:hAnsi="Calibri"/>
          <w:i/>
          <w:iCs/>
          <w:color w:val="5E544B"/>
          <w:sz w:val="19"/>
          <w:szCs w:val="19"/>
        </w:rPr>
        <w:t xml:space="preserve">Confidential defense / advanced-manufacturing client  ·  Austin, TX</w:t>
      </w:r>
    </w:p>
    <w:p>
      <w:pPr>
        <w:pStyle w:val="ListParagraph"/>
        <w:numPr>
          <w:ilvl w:val="0"/>
          <w:numId w:val="1"/>
        </w:numPr>
        <w:spacing w:after="90"/>
        <w:ind w:left="360" w:hanging="200"/>
      </w:pPr>
      <w:r>
        <w:rPr>
          <w:rFonts w:ascii="Calibri" w:cs="Calibri" w:eastAsia="Calibri" w:hAnsi="Calibri"/>
          <w:color w:val="3A322C"/>
          <w:sz w:val="20"/>
          <w:szCs w:val="20"/>
        </w:rPr>
        <w:t xml:space="preserve">Proved learning effectiveness with identical pre/post surveys: a </w:t>
      </w:r>
      <w:r>
        <w:rPr>
          <w:rFonts w:ascii="Calibri" w:cs="Calibri" w:eastAsia="Calibri" w:hAnsi="Calibri"/>
          <w:b/>
          <w:bCs/>
          <w:color w:val="2A2420"/>
          <w:sz w:val="20"/>
          <w:szCs w:val="20"/>
        </w:rPr>
        <w:t xml:space="preserve">+1.3-point</w:t>
      </w:r>
      <w:r>
        <w:rPr>
          <w:rFonts w:ascii="Calibri" w:cs="Calibri" w:eastAsia="Calibri" w:hAnsi="Calibri"/>
          <w:color w:val="3A322C"/>
          <w:sz w:val="20"/>
          <w:szCs w:val="20"/>
        </w:rPr>
        <w:t xml:space="preserve"> average self-reported knowledge/confidence gain on a 5-point scale, improvement in </w:t>
      </w:r>
      <w:r>
        <w:rPr>
          <w:rFonts w:ascii="Calibri" w:cs="Calibri" w:eastAsia="Calibri" w:hAnsi="Calibri"/>
          <w:b/>
          <w:bCs/>
          <w:color w:val="2A2420"/>
          <w:sz w:val="20"/>
          <w:szCs w:val="20"/>
        </w:rPr>
        <w:t xml:space="preserve">100%</w:t>
      </w:r>
      <w:r>
        <w:rPr>
          <w:rFonts w:ascii="Calibri" w:cs="Calibri" w:eastAsia="Calibri" w:hAnsi="Calibri"/>
          <w:color w:val="3A322C"/>
          <w:sz w:val="20"/>
          <w:szCs w:val="20"/>
        </w:rPr>
        <w:t xml:space="preserve"> of measured courses, and a </w:t>
      </w:r>
      <w:r>
        <w:rPr>
          <w:rFonts w:ascii="Calibri" w:cs="Calibri" w:eastAsia="Calibri" w:hAnsi="Calibri"/>
          <w:b/>
          <w:bCs/>
          <w:color w:val="2A2420"/>
          <w:sz w:val="20"/>
          <w:szCs w:val="20"/>
        </w:rPr>
        <w:t xml:space="preserve">4.8/5</w:t>
      </w:r>
      <w:r>
        <w:rPr>
          <w:rFonts w:ascii="Calibri" w:cs="Calibri" w:eastAsia="Calibri" w:hAnsi="Calibri"/>
          <w:color w:val="3A322C"/>
          <w:sz w:val="20"/>
          <w:szCs w:val="20"/>
        </w:rPr>
        <w:t xml:space="preserve"> average rating across 200+ reviews and 3,000+ responses.</w:t>
      </w:r>
    </w:p>
    <w:p>
      <w:pPr>
        <w:pStyle w:val="ListParagraph"/>
        <w:numPr>
          <w:ilvl w:val="0"/>
          <w:numId w:val="1"/>
        </w:numPr>
        <w:spacing w:after="90"/>
        <w:ind w:left="360" w:hanging="200"/>
      </w:pPr>
      <w:r>
        <w:rPr>
          <w:rFonts w:ascii="Calibri" w:cs="Calibri" w:eastAsia="Calibri" w:hAnsi="Calibri"/>
          <w:color w:val="3A322C"/>
          <w:sz w:val="20"/>
          <w:szCs w:val="20"/>
        </w:rPr>
        <w:t xml:space="preserve">Sole designer and de facto program manager architecting the complete redesign of the client’s enterprise safety-training program: a reusable shared-core spine feeding a full slate of equipment-specific certification courses, each paired with a facilitator guide and a standardized in-person practicum (in active build).</w:t>
      </w:r>
    </w:p>
    <w:p>
      <w:pPr>
        <w:pStyle w:val="ListParagraph"/>
        <w:numPr>
          <w:ilvl w:val="0"/>
          <w:numId w:val="1"/>
        </w:numPr>
        <w:spacing w:after="90"/>
        <w:ind w:left="360" w:hanging="200"/>
      </w:pPr>
      <w:r>
        <w:rPr>
          <w:rFonts w:ascii="Calibri" w:cs="Calibri" w:eastAsia="Calibri" w:hAnsi="Calibri"/>
          <w:color w:val="3A322C"/>
          <w:sz w:val="20"/>
          <w:szCs w:val="20"/>
        </w:rPr>
        <w:t xml:space="preserve">Designed and developed a </w:t>
      </w:r>
      <w:r>
        <w:rPr>
          <w:rFonts w:ascii="Calibri" w:cs="Calibri" w:eastAsia="Calibri" w:hAnsi="Calibri"/>
          <w:b/>
          <w:bCs/>
          <w:color w:val="2A2420"/>
          <w:sz w:val="20"/>
          <w:szCs w:val="20"/>
        </w:rPr>
        <w:t xml:space="preserve">10-course ISO 9001 Quality Management System</w:t>
      </w:r>
      <w:r>
        <w:rPr>
          <w:rFonts w:ascii="Calibri" w:cs="Calibri" w:eastAsia="Calibri" w:hAnsi="Calibri"/>
          <w:color w:val="3A322C"/>
          <w:sz w:val="20"/>
          <w:szCs w:val="20"/>
        </w:rPr>
        <w:t xml:space="preserve"> curriculum (document control, corrective action/CAPA, calibration, nonconformance, internal audit, and related quality processes), deployed company-wide via enterprise LMS as sole author, developer, and media producer on a roughly four-week create-to-publish cycle.</w:t>
      </w:r>
    </w:p>
    <w:p>
      <w:pPr>
        <w:pStyle w:val="ListParagraph"/>
        <w:numPr>
          <w:ilvl w:val="0"/>
          <w:numId w:val="1"/>
        </w:numPr>
        <w:spacing w:after="90"/>
        <w:ind w:left="360" w:hanging="200"/>
      </w:pPr>
      <w:r>
        <w:rPr>
          <w:rFonts w:ascii="Calibri" w:cs="Calibri" w:eastAsia="Calibri" w:hAnsi="Calibri"/>
          <w:color w:val="3A322C"/>
          <w:sz w:val="20"/>
          <w:szCs w:val="20"/>
        </w:rPr>
        <w:t xml:space="preserve">Hand-coded self-contained, accessible </w:t>
      </w:r>
      <w:r>
        <w:rPr>
          <w:rFonts w:ascii="Calibri" w:cs="Calibri" w:eastAsia="Calibri" w:hAnsi="Calibri"/>
          <w:b/>
          <w:bCs/>
          <w:color w:val="2A2420"/>
          <w:sz w:val="20"/>
          <w:szCs w:val="20"/>
        </w:rPr>
        <w:t xml:space="preserve">HTML/CSS/JS</w:t>
      </w:r>
      <w:r>
        <w:rPr>
          <w:rFonts w:ascii="Calibri" w:cs="Calibri" w:eastAsia="Calibri" w:hAnsi="Calibri"/>
          <w:color w:val="3A322C"/>
          <w:sz w:val="20"/>
          <w:szCs w:val="20"/>
        </w:rPr>
        <w:t xml:space="preserve"> interactions (drag-and-drop card sorts, audit simulators, decision flows) as Articulate Rise web objects with full ARIA and keyboard support, engineering interactions in-house with no dedicated development team.</w:t>
      </w:r>
    </w:p>
    <w:p>
      <w:pPr>
        <w:pStyle w:val="ListParagraph"/>
        <w:numPr>
          <w:ilvl w:val="0"/>
          <w:numId w:val="1"/>
        </w:numPr>
        <w:spacing w:after="90"/>
        <w:ind w:left="360" w:hanging="200"/>
      </w:pPr>
      <w:r>
        <w:rPr>
          <w:rFonts w:ascii="Calibri" w:cs="Calibri" w:eastAsia="Calibri" w:hAnsi="Calibri"/>
          <w:color w:val="3A322C"/>
          <w:sz w:val="20"/>
          <w:szCs w:val="20"/>
        </w:rPr>
        <w:t xml:space="preserve">Anchored every program to its OSHA/ANSI regulatory floor (e.g., 29 CFR 1910.178(l), ANSI A92) and built an audit-defensible certification-record system bridging asynchronous instruction to in-person practical evaluation; authored the governance model (SME-review playbook, RACI, go/no-go gates, and weekly leadership reporting).</w:t>
      </w:r>
    </w:p>
    <w:p>
      <w:pPr>
        <w:pStyle w:val="ListParagraph"/>
        <w:numPr>
          <w:ilvl w:val="0"/>
          <w:numId w:val="1"/>
        </w:numPr>
        <w:spacing w:after="90"/>
        <w:ind w:left="360" w:hanging="200"/>
      </w:pPr>
      <w:r>
        <w:rPr>
          <w:rFonts w:ascii="Calibri" w:cs="Calibri" w:eastAsia="Calibri" w:hAnsi="Calibri"/>
          <w:color w:val="3A322C"/>
          <w:sz w:val="20"/>
          <w:szCs w:val="20"/>
        </w:rPr>
        <w:t xml:space="preserve">Built a versioned e-learning design system (CSS-token UI kit), an LMS integration specification (SCORM/xAPI completion model with a certification state machine), a WCAG 2.1 AA implementation guide, and a suite of AI-assisted production tools that standardized and accelerated multi-course development.</w:t>
      </w:r>
    </w:p>
    <w:p>
      <w:pPr>
        <w:keepNext/>
        <w:tabs>
          <w:tab w:val="right" w:pos="10512"/>
        </w:tabs>
        <w:spacing w:after="30" w:before="160"/>
      </w:pPr>
      <w:r>
        <w:rPr>
          <w:rFonts w:ascii="Calibri" w:cs="Calibri" w:eastAsia="Calibri" w:hAnsi="Calibri"/>
          <w:b/>
          <w:bCs/>
          <w:color w:val="2A2420"/>
          <w:sz w:val="21"/>
          <w:szCs w:val="21"/>
        </w:rPr>
        <w:t xml:space="preserve">Senior Learning &amp; Development Specialist, Safety Services</w:t>
      </w:r>
      <w:r>
        <w:rPr>
          <w:rFonts w:ascii="Calibri" w:cs="Calibri" w:eastAsia="Calibri" w:hAnsi="Calibri"/>
          <w:i/>
          <w:iCs/>
          <w:color w:val="5E544B"/>
          <w:sz w:val="19"/>
          <w:szCs w:val="19"/>
        </w:rPr>
        <w:t xml:space="preserve">	Apr 2023 – Jun 2025</w:t>
      </w:r>
    </w:p>
    <w:p>
      <w:pPr>
        <w:keepNext/>
        <w:spacing w:after="60"/>
      </w:pPr>
      <w:r>
        <w:rPr>
          <w:rFonts w:ascii="Calibri" w:cs="Calibri" w:eastAsia="Calibri" w:hAnsi="Calibri"/>
          <w:i/>
          <w:iCs/>
          <w:color w:val="5E544B"/>
          <w:sz w:val="19"/>
          <w:szCs w:val="19"/>
        </w:rPr>
        <w:t xml:space="preserve">Lower Colorado River Authority (LCRA)  ·  Austin, TX</w:t>
      </w:r>
    </w:p>
    <w:p>
      <w:pPr>
        <w:pStyle w:val="ListParagraph"/>
        <w:numPr>
          <w:ilvl w:val="0"/>
          <w:numId w:val="1"/>
        </w:numPr>
        <w:spacing w:after="90"/>
        <w:ind w:left="360" w:hanging="200"/>
      </w:pPr>
      <w:r>
        <w:rPr>
          <w:rFonts w:ascii="Calibri" w:cs="Calibri" w:eastAsia="Calibri" w:hAnsi="Calibri"/>
          <w:color w:val="3A322C"/>
          <w:sz w:val="20"/>
          <w:szCs w:val="20"/>
        </w:rPr>
        <w:t xml:space="preserve">Designed and delivered monthly enterprise safety training for </w:t>
      </w:r>
      <w:r>
        <w:rPr>
          <w:rFonts w:ascii="Calibri" w:cs="Calibri" w:eastAsia="Calibri" w:hAnsi="Calibri"/>
          <w:b/>
          <w:bCs/>
          <w:color w:val="2A2420"/>
          <w:sz w:val="20"/>
          <w:szCs w:val="20"/>
        </w:rPr>
        <w:t xml:space="preserve">2,000+ employees</w:t>
      </w:r>
      <w:r>
        <w:rPr>
          <w:rFonts w:ascii="Calibri" w:cs="Calibri" w:eastAsia="Calibri" w:hAnsi="Calibri"/>
          <w:color w:val="3A322C"/>
          <w:sz w:val="20"/>
          <w:szCs w:val="20"/>
        </w:rPr>
        <w:t xml:space="preserve"> across five business units, and led instructional design for annual Safety Week initiatives.</w:t>
      </w:r>
    </w:p>
    <w:p>
      <w:pPr>
        <w:pStyle w:val="ListParagraph"/>
        <w:numPr>
          <w:ilvl w:val="0"/>
          <w:numId w:val="1"/>
        </w:numPr>
        <w:spacing w:after="90"/>
        <w:ind w:left="360" w:hanging="200"/>
      </w:pPr>
      <w:r>
        <w:rPr>
          <w:rFonts w:ascii="Calibri" w:cs="Calibri" w:eastAsia="Calibri" w:hAnsi="Calibri"/>
          <w:color w:val="3A322C"/>
          <w:sz w:val="20"/>
          <w:szCs w:val="20"/>
        </w:rPr>
        <w:t xml:space="preserve">Produced multimedia training assets (Storyline, Rise, Camtasia, Vyond), administered the LMS and SCORM-based reporting, and aligned training to regulatory and procedural standards.</w:t>
      </w:r>
    </w:p>
    <w:p>
      <w:pPr>
        <w:pStyle w:val="ListParagraph"/>
        <w:numPr>
          <w:ilvl w:val="0"/>
          <w:numId w:val="1"/>
        </w:numPr>
        <w:spacing w:after="90"/>
        <w:ind w:left="360" w:hanging="200"/>
      </w:pPr>
      <w:r>
        <w:rPr>
          <w:rFonts w:ascii="Calibri" w:cs="Calibri" w:eastAsia="Calibri" w:hAnsi="Calibri"/>
          <w:color w:val="3A322C"/>
          <w:sz w:val="20"/>
          <w:szCs w:val="20"/>
        </w:rPr>
        <w:t xml:space="preserve">Partnered with cross-functional SMEs and facilitators; produced facilitator guides, scripts, and reference materials for instructor-led and blended sessions.</w:t>
      </w:r>
    </w:p>
    <w:p>
      <w:pPr>
        <w:keepNext/>
        <w:tabs>
          <w:tab w:val="right" w:pos="10512"/>
        </w:tabs>
        <w:spacing w:after="30" w:before="160"/>
      </w:pPr>
      <w:r>
        <w:rPr>
          <w:rFonts w:ascii="Calibri" w:cs="Calibri" w:eastAsia="Calibri" w:hAnsi="Calibri"/>
          <w:b/>
          <w:bCs/>
          <w:color w:val="2A2420"/>
          <w:sz w:val="21"/>
          <w:szCs w:val="21"/>
        </w:rPr>
        <w:t xml:space="preserve">Instructional Designer, Sales Enablement, LogicMonitor</w:t>
      </w:r>
      <w:r>
        <w:rPr>
          <w:rFonts w:ascii="Calibri" w:cs="Calibri" w:eastAsia="Calibri" w:hAnsi="Calibri"/>
          <w:i/>
          <w:iCs/>
          <w:color w:val="5E544B"/>
          <w:sz w:val="19"/>
          <w:szCs w:val="19"/>
        </w:rPr>
        <w:t xml:space="preserve">	Aug 2022 – Feb 2023</w:t>
      </w:r>
    </w:p>
    <w:p>
      <w:pPr>
        <w:keepNext/>
        <w:spacing w:after="60"/>
      </w:pPr>
      <w:r>
        <w:rPr>
          <w:rFonts w:ascii="Calibri" w:cs="Calibri" w:eastAsia="Calibri" w:hAnsi="Calibri"/>
          <w:i/>
          <w:iCs/>
          <w:color w:val="5E544B"/>
          <w:sz w:val="19"/>
          <w:szCs w:val="19"/>
        </w:rPr>
        <w:t xml:space="preserve">Austin, TX</w:t>
      </w:r>
    </w:p>
    <w:p>
      <w:pPr>
        <w:pStyle w:val="ListParagraph"/>
        <w:numPr>
          <w:ilvl w:val="0"/>
          <w:numId w:val="1"/>
        </w:numPr>
        <w:spacing w:after="90"/>
        <w:ind w:left="360" w:hanging="200"/>
      </w:pPr>
      <w:r>
        <w:rPr>
          <w:rFonts w:ascii="Calibri" w:cs="Calibri" w:eastAsia="Calibri" w:hAnsi="Calibri"/>
          <w:color w:val="3A322C"/>
          <w:sz w:val="20"/>
          <w:szCs w:val="20"/>
        </w:rPr>
        <w:t xml:space="preserve">Conducted enterprise needs analyses across sales segments, designed and co-facilitated company-wide learning events (QBR, SKO, Company Kickoff), and built product-enablement training aligned to revenue objectives.</w:t>
      </w:r>
    </w:p>
    <w:p>
      <w:pPr>
        <w:keepNext/>
        <w:tabs>
          <w:tab w:val="right" w:pos="10512"/>
        </w:tabs>
        <w:spacing w:after="30" w:before="160"/>
      </w:pPr>
      <w:r>
        <w:rPr>
          <w:rFonts w:ascii="Calibri" w:cs="Calibri" w:eastAsia="Calibri" w:hAnsi="Calibri"/>
          <w:b/>
          <w:bCs/>
          <w:color w:val="2A2420"/>
          <w:sz w:val="21"/>
          <w:szCs w:val="21"/>
        </w:rPr>
        <w:t xml:space="preserve">Earlier Experience</w:t>
      </w:r>
      <w:r>
        <w:rPr>
          <w:rFonts w:ascii="Calibri" w:cs="Calibri" w:eastAsia="Calibri" w:hAnsi="Calibri"/>
          <w:i/>
          <w:iCs/>
          <w:color w:val="5E544B"/>
          <w:sz w:val="19"/>
          <w:szCs w:val="19"/>
        </w:rPr>
        <w:t xml:space="preserve">	</w:t>
      </w:r>
    </w:p>
    <w:p>
      <w:pPr>
        <w:pStyle w:val="ListParagraph"/>
        <w:numPr>
          <w:ilvl w:val="0"/>
          <w:numId w:val="1"/>
        </w:numPr>
        <w:spacing w:after="90"/>
        <w:ind w:left="360" w:hanging="200"/>
      </w:pPr>
      <w:r>
        <w:rPr>
          <w:rFonts w:ascii="Calibri" w:cs="Calibri" w:eastAsia="Calibri" w:hAnsi="Calibri"/>
          <w:b/>
          <w:bCs/>
          <w:color w:val="2A2420"/>
          <w:sz w:val="20"/>
          <w:szCs w:val="20"/>
        </w:rPr>
        <w:t xml:space="preserve">Instructional Design Specialist</w:t>
      </w:r>
      <w:r>
        <w:rPr>
          <w:rFonts w:ascii="Calibri" w:cs="Calibri" w:eastAsia="Calibri" w:hAnsi="Calibri"/>
          <w:color w:val="3A322C"/>
          <w:sz w:val="20"/>
          <w:szCs w:val="20"/>
        </w:rPr>
        <w:t xml:space="preserve">, Abilene Christian University (Remote), 2021–2022 — Administered Canvas LMS and instructional-design workflows; reduced development time ~20% and improved access for 2,000+ students.</w:t>
      </w:r>
    </w:p>
    <w:p>
      <w:pPr>
        <w:pStyle w:val="ListParagraph"/>
        <w:numPr>
          <w:ilvl w:val="0"/>
          <w:numId w:val="1"/>
        </w:numPr>
        <w:spacing w:after="90"/>
        <w:ind w:left="360" w:hanging="200"/>
      </w:pPr>
      <w:r>
        <w:rPr>
          <w:rFonts w:ascii="Calibri" w:cs="Calibri" w:eastAsia="Calibri" w:hAnsi="Calibri"/>
          <w:b/>
          <w:bCs/>
          <w:color w:val="2A2420"/>
          <w:sz w:val="20"/>
          <w:szCs w:val="20"/>
        </w:rPr>
        <w:t xml:space="preserve">Instructional Designer II (Grant-Funded)</w:t>
      </w:r>
      <w:r>
        <w:rPr>
          <w:rFonts w:ascii="Calibri" w:cs="Calibri" w:eastAsia="Calibri" w:hAnsi="Calibri"/>
          <w:color w:val="3A322C"/>
          <w:sz w:val="20"/>
          <w:szCs w:val="20"/>
        </w:rPr>
        <w:t xml:space="preserve">, Miami Dade College, 2021 — Directed a DOE-funded faculty-development project and launched a multimedia content-creation lab.</w:t>
      </w:r>
    </w:p>
    <w:p>
      <w:pPr>
        <w:pStyle w:val="ListParagraph"/>
        <w:numPr>
          <w:ilvl w:val="0"/>
          <w:numId w:val="1"/>
        </w:numPr>
        <w:spacing w:after="90"/>
        <w:ind w:left="360" w:hanging="200"/>
      </w:pPr>
      <w:r>
        <w:rPr>
          <w:rFonts w:ascii="Calibri" w:cs="Calibri" w:eastAsia="Calibri" w:hAnsi="Calibri"/>
          <w:b/>
          <w:bCs/>
          <w:color w:val="2A2420"/>
          <w:sz w:val="20"/>
          <w:szCs w:val="20"/>
        </w:rPr>
        <w:t xml:space="preserve">Instructional Designer</w:t>
      </w:r>
      <w:r>
        <w:rPr>
          <w:rFonts w:ascii="Calibri" w:cs="Calibri" w:eastAsia="Calibri" w:hAnsi="Calibri"/>
          <w:color w:val="3A322C"/>
          <w:sz w:val="20"/>
          <w:szCs w:val="20"/>
        </w:rPr>
        <w:t xml:space="preserve">, TCU &amp; UNTHSC School of Medicine, 2019–2020 — Built blended learning and facilitated ILT/WBT supporting accreditation readiness.</w:t>
      </w:r>
    </w:p>
    <w:p>
      <w:pPr>
        <w:pStyle w:val="ListParagraph"/>
        <w:numPr>
          <w:ilvl w:val="0"/>
          <w:numId w:val="1"/>
        </w:numPr>
        <w:spacing w:after="90"/>
        <w:ind w:left="360" w:hanging="200"/>
      </w:pPr>
      <w:r>
        <w:rPr>
          <w:rFonts w:ascii="Calibri" w:cs="Calibri" w:eastAsia="Calibri" w:hAnsi="Calibri"/>
          <w:b/>
          <w:bCs/>
          <w:color w:val="2A2420"/>
          <w:sz w:val="20"/>
          <w:szCs w:val="20"/>
        </w:rPr>
        <w:t xml:space="preserve">Instructional Designer (Grant-Funded)</w:t>
      </w:r>
      <w:r>
        <w:rPr>
          <w:rFonts w:ascii="Calibri" w:cs="Calibri" w:eastAsia="Calibri" w:hAnsi="Calibri"/>
          <w:color w:val="3A322C"/>
          <w:sz w:val="20"/>
          <w:szCs w:val="20"/>
        </w:rPr>
        <w:t xml:space="preserve">, University of Texas at Austin, 2018–2019 — Produced large-scale educator training; improved engagement for 11,000+ educators across Texas.</w:t>
      </w:r>
    </w:p>
    <w:p>
      <w:pPr>
        <w:pStyle w:val="ListParagraph"/>
        <w:numPr>
          <w:ilvl w:val="0"/>
          <w:numId w:val="1"/>
        </w:numPr>
        <w:spacing w:after="90"/>
        <w:ind w:left="360" w:hanging="200"/>
      </w:pPr>
      <w:r>
        <w:rPr>
          <w:rFonts w:ascii="Calibri" w:cs="Calibri" w:eastAsia="Calibri" w:hAnsi="Calibri"/>
          <w:b/>
          <w:bCs/>
          <w:color w:val="2A2420"/>
          <w:sz w:val="20"/>
          <w:szCs w:val="20"/>
        </w:rPr>
        <w:t xml:space="preserve">Instructional Designer</w:t>
      </w:r>
      <w:r>
        <w:rPr>
          <w:rFonts w:ascii="Calibri" w:cs="Calibri" w:eastAsia="Calibri" w:hAnsi="Calibri"/>
          <w:color w:val="3A322C"/>
          <w:sz w:val="20"/>
          <w:szCs w:val="20"/>
        </w:rPr>
        <w:t xml:space="preserve">, University of Texas at Arlington, 2018 — Digitized training manuals and built HTML/CSS eLearning for 40,000+ LMS users.</w:t>
      </w:r>
    </w:p>
    <w:p>
      <w:pPr>
        <w:pStyle w:val="ListParagraph"/>
        <w:numPr>
          <w:ilvl w:val="0"/>
          <w:numId w:val="1"/>
        </w:numPr>
        <w:spacing w:after="90"/>
        <w:ind w:left="360" w:hanging="200"/>
      </w:pPr>
      <w:r>
        <w:rPr>
          <w:rFonts w:ascii="Calibri" w:cs="Calibri" w:eastAsia="Calibri" w:hAnsi="Calibri"/>
          <w:b/>
          <w:bCs/>
          <w:color w:val="2A2420"/>
          <w:sz w:val="20"/>
          <w:szCs w:val="20"/>
        </w:rPr>
        <w:t xml:space="preserve">Earlier (2012–2018):</w:t>
      </w:r>
      <w:r>
        <w:rPr>
          <w:rFonts w:ascii="Calibri" w:cs="Calibri" w:eastAsia="Calibri" w:hAnsi="Calibri"/>
          <w:color w:val="3A322C"/>
          <w:sz w:val="20"/>
          <w:szCs w:val="20"/>
        </w:rPr>
        <w:t xml:space="preserve"> Taught ESL in China and South Korea, advancing into branch-level curriculum design and program improvement; founded and registered an ESL micro-business branded around instructional design.</w:t>
      </w:r>
    </w:p>
    <w:p>
      <w:pPr>
        <w:keepNext/>
        <w:pBdr>
          <w:bottom w:val="single" w:color="0F7480" w:sz="6" w:space="2"/>
        </w:pBdr>
        <w:spacing w:after="100" w:before="240"/>
      </w:pPr>
      <w:r>
        <w:rPr>
          <w:rFonts w:ascii="Georgia" w:cs="Georgia" w:eastAsia="Georgia" w:hAnsi="Georgia"/>
          <w:b/>
          <w:bCs/>
          <w:color w:val="2A2420"/>
          <w:sz w:val="25"/>
          <w:szCs w:val="25"/>
        </w:rPr>
        <w:t xml:space="preserve">Education</w:t>
      </w:r>
    </w:p>
    <w:p>
      <w:pPr>
        <w:pStyle w:val="ListParagraph"/>
        <w:numPr>
          <w:ilvl w:val="0"/>
          <w:numId w:val="1"/>
        </w:numPr>
        <w:spacing w:after="90"/>
        <w:ind w:left="360" w:hanging="200"/>
      </w:pPr>
      <w:r>
        <w:rPr>
          <w:rFonts w:ascii="Calibri" w:cs="Calibri" w:eastAsia="Calibri" w:hAnsi="Calibri"/>
          <w:b/>
          <w:bCs/>
          <w:color w:val="2A2420"/>
          <w:sz w:val="20"/>
          <w:szCs w:val="20"/>
        </w:rPr>
        <w:t xml:space="preserve">M.S., Instructional Design &amp; Educational Technology</w:t>
      </w:r>
      <w:r>
        <w:rPr>
          <w:rFonts w:ascii="Calibri" w:cs="Calibri" w:eastAsia="Calibri" w:hAnsi="Calibri"/>
          <w:color w:val="3A322C"/>
          <w:sz w:val="20"/>
          <w:szCs w:val="20"/>
        </w:rPr>
        <w:t xml:space="preserve"> — Texas A&amp;M University–Corpus Christi, 2017 (GPA 3.75)</w:t>
      </w:r>
    </w:p>
    <w:p>
      <w:pPr>
        <w:pStyle w:val="ListParagraph"/>
        <w:numPr>
          <w:ilvl w:val="0"/>
          <w:numId w:val="1"/>
        </w:numPr>
        <w:spacing w:after="90"/>
        <w:ind w:left="360" w:hanging="200"/>
      </w:pPr>
      <w:r>
        <w:rPr>
          <w:rFonts w:ascii="Calibri" w:cs="Calibri" w:eastAsia="Calibri" w:hAnsi="Calibri"/>
          <w:b/>
          <w:bCs/>
          <w:color w:val="2A2420"/>
          <w:sz w:val="20"/>
          <w:szCs w:val="20"/>
        </w:rPr>
        <w:t xml:space="preserve">B.A., Art &amp; Performance</w:t>
      </w:r>
      <w:r>
        <w:rPr>
          <w:rFonts w:ascii="Calibri" w:cs="Calibri" w:eastAsia="Calibri" w:hAnsi="Calibri"/>
          <w:color w:val="3A322C"/>
          <w:sz w:val="20"/>
          <w:szCs w:val="20"/>
        </w:rPr>
        <w:t xml:space="preserve"> — University of Texas at Dallas   ·   </w:t>
      </w:r>
      <w:r>
        <w:rPr>
          <w:rFonts w:ascii="Calibri" w:cs="Calibri" w:eastAsia="Calibri" w:hAnsi="Calibri"/>
          <w:b/>
          <w:bCs/>
          <w:color w:val="2A2420"/>
          <w:sz w:val="20"/>
          <w:szCs w:val="20"/>
        </w:rPr>
        <w:t xml:space="preserve">A.A.</w:t>
      </w:r>
      <w:r>
        <w:rPr>
          <w:rFonts w:ascii="Calibri" w:cs="Calibri" w:eastAsia="Calibri" w:hAnsi="Calibri"/>
          <w:color w:val="3A322C"/>
          <w:sz w:val="20"/>
          <w:szCs w:val="20"/>
        </w:rPr>
        <w:t xml:space="preserve"> — Austin Community College</w:t>
      </w:r>
    </w:p>
    <w:p>
      <w:pPr>
        <w:keepNext/>
        <w:pBdr>
          <w:bottom w:val="single" w:color="0F7480" w:sz="6" w:space="2"/>
        </w:pBdr>
        <w:spacing w:after="100" w:before="240"/>
      </w:pPr>
      <w:r>
        <w:rPr>
          <w:rFonts w:ascii="Georgia" w:cs="Georgia" w:eastAsia="Georgia" w:hAnsi="Georgia"/>
          <w:b/>
          <w:bCs/>
          <w:color w:val="2A2420"/>
          <w:sz w:val="25"/>
          <w:szCs w:val="25"/>
        </w:rPr>
        <w:t xml:space="preserve">Certifications</w:t>
      </w:r>
    </w:p>
    <w:p>
      <w:pPr>
        <w:spacing w:after="60"/>
      </w:pPr>
      <w:r>
        <w:rPr>
          <w:rFonts w:ascii="Calibri" w:cs="Calibri" w:eastAsia="Calibri" w:hAnsi="Calibri"/>
          <w:color w:val="3A322C"/>
          <w:sz w:val="19"/>
          <w:szCs w:val="19"/>
        </w:rPr>
        <w:t xml:space="preserve">ATD Master Trainer (2024)  ·  ATD Managing Learning Programs (2024)  ·  MicroMasters in Design Thinking (RIT)  ·  Quality Matters Peer Reviewer (PRC)  ·  Applying the QM Rubric (APPQMR)  ·  ADA &amp; Web Accessibility (OLC)  ·  Online Teaching with Accessibility Specialization (OLC)  ·  Google Project Management  ·  Adobe Train the Trainer  ·  Cambridge CELTA (2013)</w:t>
      </w:r>
    </w:p>
    <w:p>
      <w:pPr>
        <w:keepNext/>
        <w:pBdr>
          <w:bottom w:val="single" w:color="0F7480" w:sz="6" w:space="2"/>
        </w:pBdr>
        <w:spacing w:after="100" w:before="240"/>
      </w:pPr>
      <w:r>
        <w:rPr>
          <w:rFonts w:ascii="Georgia" w:cs="Georgia" w:eastAsia="Georgia" w:hAnsi="Georgia"/>
          <w:b/>
          <w:bCs/>
          <w:color w:val="2A2420"/>
          <w:sz w:val="25"/>
          <w:szCs w:val="25"/>
        </w:rPr>
        <w:t xml:space="preserve">Technical Skills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A2420"/>
          <w:sz w:val="20"/>
          <w:szCs w:val="20"/>
        </w:rPr>
        <w:t xml:space="preserve">eLearning Authoring: </w:t>
      </w:r>
      <w:r>
        <w:rPr>
          <w:rFonts w:ascii="Calibri" w:cs="Calibri" w:eastAsia="Calibri" w:hAnsi="Calibri"/>
          <w:color w:val="3A322C"/>
          <w:sz w:val="20"/>
          <w:szCs w:val="20"/>
        </w:rPr>
        <w:t xml:space="preserve">Articulate Storyline 360 (9 yrs), Articulate Rise (5 yrs), Adobe Captivate; Camtasia (6 yrs); Vyond (6 yrs)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A2420"/>
          <w:sz w:val="20"/>
          <w:szCs w:val="20"/>
        </w:rPr>
        <w:t xml:space="preserve">Front-End for Learning: </w:t>
      </w:r>
      <w:r>
        <w:rPr>
          <w:rFonts w:ascii="Calibri" w:cs="Calibri" w:eastAsia="Calibri" w:hAnsi="Calibri"/>
          <w:color w:val="3A322C"/>
          <w:sz w:val="20"/>
          <w:szCs w:val="20"/>
        </w:rPr>
        <w:t xml:space="preserve">HTML, CSS, JavaScript (accessible Rise web objects, ARIA / keyboard support)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A2420"/>
          <w:sz w:val="20"/>
          <w:szCs w:val="20"/>
        </w:rPr>
        <w:t xml:space="preserve">Standards &amp; LMS: </w:t>
      </w:r>
      <w:r>
        <w:rPr>
          <w:rFonts w:ascii="Calibri" w:cs="Calibri" w:eastAsia="Calibri" w:hAnsi="Calibri"/>
          <w:color w:val="3A322C"/>
          <w:sz w:val="20"/>
          <w:szCs w:val="20"/>
        </w:rPr>
        <w:t xml:space="preserve">SCORM, xAPI, LRS; LMS (Learning Management System) administration (Canvas, Blackboard); WCAG 2.1 AA, ADA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A2420"/>
          <w:sz w:val="20"/>
          <w:szCs w:val="20"/>
        </w:rPr>
        <w:t xml:space="preserve">Media &amp; Design: </w:t>
      </w:r>
      <w:r>
        <w:rPr>
          <w:rFonts w:ascii="Calibri" w:cs="Calibri" w:eastAsia="Calibri" w:hAnsi="Calibri"/>
          <w:color w:val="3A322C"/>
          <w:sz w:val="20"/>
          <w:szCs w:val="20"/>
        </w:rPr>
        <w:t xml:space="preserve">Adobe Premiere Pro (15 yrs), Photoshop (15 yrs), Audition (20 yrs); Canva; graphic design &amp; storyboarding (15 yrs)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A2420"/>
          <w:sz w:val="20"/>
          <w:szCs w:val="20"/>
        </w:rPr>
        <w:t xml:space="preserve">AI-Assisted Production: </w:t>
      </w:r>
      <w:r>
        <w:rPr>
          <w:rFonts w:ascii="Calibri" w:cs="Calibri" w:eastAsia="Calibri" w:hAnsi="Calibri"/>
          <w:color w:val="3A322C"/>
          <w:sz w:val="20"/>
          <w:szCs w:val="20"/>
        </w:rPr>
        <w:t xml:space="preserve">Scripting, voiceover, captioning, and image generation; custom AI tooling for standardized, accelerated development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A2420"/>
          <w:sz w:val="20"/>
          <w:szCs w:val="20"/>
        </w:rPr>
        <w:t xml:space="preserve">Program &amp; Project: </w:t>
      </w:r>
      <w:r>
        <w:rPr>
          <w:rFonts w:ascii="Calibri" w:cs="Calibri" w:eastAsia="Calibri" w:hAnsi="Calibri"/>
          <w:color w:val="3A322C"/>
          <w:sz w:val="20"/>
          <w:szCs w:val="20"/>
        </w:rPr>
        <w:t xml:space="preserve">Needs analysis, design systems / UI kits, RACI governance, pre/post measurement and audit-ready reporting</w:t>
      </w:r>
    </w:p>
    <w:sectPr>
      <w:pgSz w:w="12240" w:h="15840" w:orient="portrait"/>
      <w:pgMar w:top="864" w:right="864" w:bottom="720" w:left="86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A322C"/>
        <w:sz w:val="20"/>
        <w:szCs w:val="20"/>
      </w:rPr>
    </w:rPrDefault>
    <w:pPrDefault>
      <w:pPr>
        <w:spacing w:line="288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Derek Dorsett — Resume</dc:title>
  <dc:creator>Derek Dorsett</dc:creator>
  <cp:lastModifiedBy>Un-named</cp:lastModifiedBy>
  <cp:revision>1</cp:revision>
  <dcterms:created xsi:type="dcterms:W3CDTF">2026-07-02T08:59:36.826Z</dcterms:created>
  <dcterms:modified xsi:type="dcterms:W3CDTF">2026-07-02T08:59:36.826Z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